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BD6D" w14:textId="77777777" w:rsidR="005734F2" w:rsidRPr="005734F2" w:rsidRDefault="005734F2" w:rsidP="005734F2">
      <w:pPr>
        <w:jc w:val="center"/>
        <w:rPr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>
        <w:rPr>
          <w:b/>
          <w:color w:val="E36C0A" w:themeColor="accent6" w:themeShade="BF"/>
          <w:sz w:val="40"/>
          <w:szCs w:val="40"/>
        </w:rPr>
        <w:t>НДФЛ-ВОПРОСЫ</w:t>
      </w:r>
    </w:p>
    <w:p w14:paraId="75E2A508" w14:textId="77777777" w:rsidR="00176E19" w:rsidRDefault="00176E19" w:rsidP="00176E19">
      <w:pPr>
        <w:spacing w:before="220" w:after="1" w:line="220" w:lineRule="auto"/>
        <w:ind w:firstLine="708"/>
        <w:jc w:val="both"/>
        <w:rPr>
          <w:rFonts w:ascii="Calibri" w:hAnsi="Calibri" w:cs="Calibri"/>
        </w:rPr>
      </w:pPr>
      <w:bookmarkStart w:id="1" w:name="Par0"/>
      <w:bookmarkEnd w:id="1"/>
      <w:r w:rsidRPr="00176E19">
        <w:rPr>
          <w:rFonts w:ascii="Calibri" w:hAnsi="Calibri" w:cs="Calibri"/>
        </w:rPr>
        <w:t>Вступ</w:t>
      </w:r>
      <w:r>
        <w:rPr>
          <w:rFonts w:ascii="Calibri" w:hAnsi="Calibri" w:cs="Calibri"/>
        </w:rPr>
        <w:t>ившие</w:t>
      </w:r>
      <w:r w:rsidRPr="00176E19">
        <w:rPr>
          <w:rFonts w:ascii="Calibri" w:hAnsi="Calibri" w:cs="Calibri"/>
        </w:rPr>
        <w:t xml:space="preserve"> в силу с 2025 г. поправки по НДФЛ косну</w:t>
      </w:r>
      <w:r>
        <w:rPr>
          <w:rFonts w:ascii="Calibri" w:hAnsi="Calibri" w:cs="Calibri"/>
        </w:rPr>
        <w:t xml:space="preserve">лись </w:t>
      </w:r>
      <w:r w:rsidRPr="00176E19">
        <w:rPr>
          <w:rFonts w:ascii="Calibri" w:hAnsi="Calibri" w:cs="Calibri"/>
        </w:rPr>
        <w:t>всех налого</w:t>
      </w:r>
      <w:r>
        <w:rPr>
          <w:rFonts w:ascii="Calibri" w:hAnsi="Calibri" w:cs="Calibri"/>
        </w:rPr>
        <w:t>вых агентов.</w:t>
      </w:r>
    </w:p>
    <w:p w14:paraId="12E22B14" w14:textId="77777777" w:rsidR="00176E19" w:rsidRDefault="00176E19" w:rsidP="00176E19">
      <w:pPr>
        <w:spacing w:before="220" w:after="1" w:line="22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Pr="00176E19">
        <w:rPr>
          <w:rFonts w:ascii="Calibri" w:hAnsi="Calibri" w:cs="Calibri"/>
        </w:rPr>
        <w:t>рименение новшеств вызывает вопросы.</w:t>
      </w:r>
    </w:p>
    <w:p w14:paraId="099B6BD2" w14:textId="77777777" w:rsidR="00176E19" w:rsidRDefault="00176E19" w:rsidP="00176E19">
      <w:pPr>
        <w:spacing w:before="220" w:after="1" w:line="22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Установлены</w:t>
      </w:r>
      <w:r w:rsidRPr="00176E19">
        <w:rPr>
          <w:rFonts w:ascii="Calibri" w:hAnsi="Calibri" w:cs="Calibri"/>
        </w:rPr>
        <w:t xml:space="preserve"> три группы доходов физлиц с разными шкалами ставок по НДФЛ. Из-за этого бухгалтерам </w:t>
      </w:r>
      <w:r>
        <w:rPr>
          <w:rFonts w:ascii="Calibri" w:hAnsi="Calibri" w:cs="Calibri"/>
        </w:rPr>
        <w:t>сложнее рассчитывать налог.</w:t>
      </w:r>
    </w:p>
    <w:p w14:paraId="2A840AB1" w14:textId="77777777" w:rsidR="00176E19" w:rsidRPr="00176E19" w:rsidRDefault="00176E19" w:rsidP="00176E19">
      <w:pPr>
        <w:spacing w:before="220" w:after="1" w:line="220" w:lineRule="auto"/>
        <w:jc w:val="both"/>
        <w:rPr>
          <w:rFonts w:ascii="Calibri" w:hAnsi="Calibri" w:cs="Calibri"/>
        </w:rPr>
      </w:pPr>
      <w:r w:rsidRPr="00176E19">
        <w:rPr>
          <w:rFonts w:ascii="Calibri" w:hAnsi="Calibri" w:cs="Calibri"/>
        </w:rPr>
        <w:t>Мы собрали ситуации, которые наиболее часто встречаются у многих НДФЛ-агентов, вопросы, которые волнуют бухгалтеров</w:t>
      </w:r>
      <w:r>
        <w:rPr>
          <w:rFonts w:ascii="Calibri" w:hAnsi="Calibri" w:cs="Calibri"/>
        </w:rPr>
        <w:t>.</w:t>
      </w:r>
    </w:p>
    <w:p w14:paraId="269AF302" w14:textId="77777777" w:rsidR="00176E19" w:rsidRDefault="00176E19" w:rsidP="00176E19">
      <w:pPr>
        <w:spacing w:after="1" w:line="220" w:lineRule="auto"/>
        <w:rPr>
          <w:rFonts w:ascii="Calibri" w:hAnsi="Calibri" w:cs="Calibri"/>
          <w:b/>
          <w:sz w:val="24"/>
          <w:szCs w:val="24"/>
        </w:rPr>
      </w:pPr>
    </w:p>
    <w:p w14:paraId="21694AE0" w14:textId="77777777" w:rsidR="00176E19" w:rsidRPr="00176E19" w:rsidRDefault="00176E19" w:rsidP="00176E19">
      <w:pPr>
        <w:spacing w:after="1" w:line="220" w:lineRule="auto"/>
        <w:rPr>
          <w:rFonts w:ascii="Calibri" w:hAnsi="Calibri" w:cs="Calibri"/>
          <w:b/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 xml:space="preserve">НДФЛ </w:t>
      </w:r>
      <w:r>
        <w:rPr>
          <w:rFonts w:ascii="Calibri" w:hAnsi="Calibri" w:cs="Calibri"/>
          <w:b/>
          <w:sz w:val="24"/>
          <w:szCs w:val="24"/>
        </w:rPr>
        <w:t>–</w:t>
      </w:r>
      <w:r w:rsidRPr="00176E1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изменения </w:t>
      </w:r>
      <w:r w:rsidRPr="00176E19">
        <w:rPr>
          <w:rFonts w:ascii="Calibri" w:hAnsi="Calibri" w:cs="Calibri"/>
          <w:b/>
          <w:sz w:val="24"/>
          <w:szCs w:val="24"/>
        </w:rPr>
        <w:t>2025</w:t>
      </w:r>
    </w:p>
    <w:p w14:paraId="5F6A4139" w14:textId="77777777" w:rsidR="003D194A" w:rsidRPr="00176E19" w:rsidRDefault="003D194A" w:rsidP="00176E19">
      <w:pPr>
        <w:spacing w:after="1" w:line="220" w:lineRule="auto"/>
        <w:rPr>
          <w:rFonts w:ascii="Calibri" w:hAnsi="Calibri" w:cs="Calibri"/>
          <w:b/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>Пример</w:t>
      </w:r>
      <w:r w:rsidR="00176E19" w:rsidRPr="00176E19">
        <w:rPr>
          <w:rFonts w:ascii="Calibri" w:hAnsi="Calibri" w:cs="Calibri"/>
          <w:b/>
          <w:sz w:val="24"/>
          <w:szCs w:val="24"/>
        </w:rPr>
        <w:t>ы расчета НДФЛ</w:t>
      </w:r>
    </w:p>
    <w:p w14:paraId="0A551D59" w14:textId="77777777" w:rsidR="00176E19" w:rsidRPr="00176E19" w:rsidRDefault="00176E19" w:rsidP="00176E19">
      <w:pPr>
        <w:spacing w:after="1" w:line="220" w:lineRule="auto"/>
        <w:rPr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>Как заполнить 6-НДФЛ за полугодие 2025 г.</w:t>
      </w:r>
      <w:r w:rsidR="00AA4347">
        <w:rPr>
          <w:rFonts w:ascii="Calibri" w:hAnsi="Calibri" w:cs="Calibri"/>
          <w:b/>
          <w:sz w:val="24"/>
          <w:szCs w:val="24"/>
        </w:rPr>
        <w:t>?</w:t>
      </w:r>
    </w:p>
    <w:p w14:paraId="7E53998C" w14:textId="77777777" w:rsidR="003D194A" w:rsidRPr="00176E19" w:rsidRDefault="003D194A">
      <w:pPr>
        <w:spacing w:after="1" w:line="220" w:lineRule="auto"/>
        <w:rPr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>6-НДФЛ за полугодие 2025 г.: примеры заполнения</w:t>
      </w:r>
    </w:p>
    <w:p w14:paraId="6836953B" w14:textId="77777777" w:rsidR="003D194A" w:rsidRPr="00176E19" w:rsidRDefault="003D194A">
      <w:pPr>
        <w:spacing w:after="1" w:line="220" w:lineRule="auto"/>
        <w:outlineLvl w:val="0"/>
        <w:rPr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>Какие доходы не облагаются НДФЛ у налогового агента</w:t>
      </w:r>
      <w:r w:rsidR="00AA4347">
        <w:rPr>
          <w:rFonts w:ascii="Calibri" w:hAnsi="Calibri" w:cs="Calibri"/>
          <w:b/>
          <w:sz w:val="24"/>
          <w:szCs w:val="24"/>
        </w:rPr>
        <w:t>?</w:t>
      </w:r>
    </w:p>
    <w:p w14:paraId="1107DE90" w14:textId="77777777" w:rsidR="00176E19" w:rsidRPr="00176E19" w:rsidRDefault="00176E19" w:rsidP="00176E19">
      <w:pPr>
        <w:spacing w:after="1" w:line="220" w:lineRule="auto"/>
        <w:outlineLvl w:val="0"/>
        <w:rPr>
          <w:rFonts w:ascii="Calibri" w:hAnsi="Calibri" w:cs="Calibri"/>
          <w:b/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>Как разработать форму налогового регистра по учету НДФЛ</w:t>
      </w:r>
      <w:r>
        <w:rPr>
          <w:rFonts w:ascii="Calibri" w:hAnsi="Calibri" w:cs="Calibri"/>
          <w:b/>
          <w:sz w:val="24"/>
          <w:szCs w:val="24"/>
        </w:rPr>
        <w:t>?</w:t>
      </w:r>
    </w:p>
    <w:p w14:paraId="75F203E4" w14:textId="77777777" w:rsidR="00176E19" w:rsidRPr="00176E19" w:rsidRDefault="00176E19" w:rsidP="00176E19">
      <w:pPr>
        <w:spacing w:after="1" w:line="220" w:lineRule="auto"/>
        <w:rPr>
          <w:rFonts w:ascii="Calibri" w:hAnsi="Calibri" w:cs="Calibri"/>
          <w:b/>
          <w:sz w:val="24"/>
          <w:szCs w:val="24"/>
        </w:rPr>
      </w:pPr>
      <w:r w:rsidRPr="00176E19">
        <w:rPr>
          <w:rFonts w:ascii="Calibri" w:hAnsi="Calibri" w:cs="Calibri"/>
          <w:b/>
          <w:sz w:val="24"/>
          <w:szCs w:val="24"/>
        </w:rPr>
        <w:t>Как определить совокупную налоговую базу по НДФЛ, если физическое лицо получает разные виды доходов?</w:t>
      </w:r>
    </w:p>
    <w:p w14:paraId="608C29E7" w14:textId="77777777" w:rsidR="00AA4347" w:rsidRPr="00AA4347" w:rsidRDefault="00AA4347" w:rsidP="00AA4347">
      <w:pPr>
        <w:spacing w:after="1" w:line="220" w:lineRule="auto"/>
        <w:rPr>
          <w:rFonts w:ascii="Calibri" w:hAnsi="Calibri" w:cs="Calibri"/>
          <w:b/>
          <w:sz w:val="24"/>
          <w:szCs w:val="24"/>
        </w:rPr>
      </w:pPr>
      <w:r w:rsidRPr="00AA4347">
        <w:rPr>
          <w:rFonts w:ascii="Calibri" w:hAnsi="Calibri" w:cs="Calibri"/>
          <w:b/>
          <w:sz w:val="24"/>
          <w:szCs w:val="24"/>
        </w:rPr>
        <w:t>Как исправить ошибки в отчетности по НДФЛ</w:t>
      </w:r>
      <w:r>
        <w:rPr>
          <w:rFonts w:ascii="Calibri" w:hAnsi="Calibri" w:cs="Calibri"/>
          <w:b/>
          <w:sz w:val="24"/>
          <w:szCs w:val="24"/>
        </w:rPr>
        <w:t>?</w:t>
      </w:r>
    </w:p>
    <w:p w14:paraId="7C30684B" w14:textId="77777777" w:rsidR="003D194A" w:rsidRDefault="003D194A"/>
    <w:p w14:paraId="681DFC3B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01.01.2025 - новая прогрессивная шкала НДФЛ: для зарплаты и доходов ИП на ОСН пять ставок - </w:t>
      </w:r>
      <w:hyperlink r:id="rId4">
        <w:r>
          <w:rPr>
            <w:rFonts w:ascii="Calibri" w:hAnsi="Calibri" w:cs="Calibri"/>
            <w:color w:val="0000FF"/>
          </w:rPr>
          <w:t>13, 15, 18, 20 и 22%</w:t>
        </w:r>
      </w:hyperlink>
      <w:r>
        <w:rPr>
          <w:rFonts w:ascii="Calibri" w:hAnsi="Calibri" w:cs="Calibri"/>
        </w:rPr>
        <w:t xml:space="preserve">; для доходов от продажи имущества и операций с ценными бумагами, дивидендов, страховых выплат, процентов по вкладам </w:t>
      </w:r>
      <w:hyperlink r:id="rId5">
        <w:r>
          <w:rPr>
            <w:rFonts w:ascii="Calibri" w:hAnsi="Calibri" w:cs="Calibri"/>
            <w:color w:val="0000FF"/>
          </w:rPr>
          <w:t>две ставки</w:t>
        </w:r>
      </w:hyperlink>
      <w:r>
        <w:rPr>
          <w:rFonts w:ascii="Calibri" w:hAnsi="Calibri" w:cs="Calibri"/>
        </w:rPr>
        <w:t xml:space="preserve"> - 13, а с суммы, превышающей 2,4 млн руб. с начала года, - 15%.</w:t>
      </w:r>
    </w:p>
    <w:p w14:paraId="61624E5B" w14:textId="77777777" w:rsidR="003D194A" w:rsidRDefault="0098161E">
      <w:pPr>
        <w:spacing w:before="220" w:after="1" w:line="220" w:lineRule="auto"/>
        <w:jc w:val="both"/>
      </w:pPr>
      <w:hyperlink r:id="rId6">
        <w:r w:rsidR="003D194A">
          <w:rPr>
            <w:rFonts w:ascii="Calibri" w:hAnsi="Calibri" w:cs="Calibri"/>
            <w:color w:val="0000FF"/>
          </w:rPr>
          <w:t>Ставки</w:t>
        </w:r>
      </w:hyperlink>
      <w:r w:rsidR="003D194A">
        <w:rPr>
          <w:rFonts w:ascii="Calibri" w:hAnsi="Calibri" w:cs="Calibri"/>
        </w:rPr>
        <w:t xml:space="preserve"> 13% с доходов до 5 млн руб. и 15% свыше 5 млн руб. остались для зарплат в части </w:t>
      </w:r>
      <w:hyperlink r:id="rId7">
        <w:r w:rsidR="003D194A">
          <w:rPr>
            <w:rFonts w:ascii="Calibri" w:hAnsi="Calibri" w:cs="Calibri"/>
            <w:color w:val="0000FF"/>
          </w:rPr>
          <w:t>районных коэффициентов и надбавок</w:t>
        </w:r>
      </w:hyperlink>
      <w:r w:rsidR="003D194A">
        <w:rPr>
          <w:rFonts w:ascii="Calibri" w:hAnsi="Calibri" w:cs="Calibri"/>
        </w:rPr>
        <w:t xml:space="preserve"> и выплат участникам СВО.</w:t>
      </w:r>
    </w:p>
    <w:p w14:paraId="1364DA9E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</w:t>
      </w:r>
      <w:hyperlink r:id="rId8">
        <w:r>
          <w:rPr>
            <w:rFonts w:ascii="Calibri" w:hAnsi="Calibri" w:cs="Calibri"/>
            <w:color w:val="0000FF"/>
          </w:rPr>
          <w:t>необлагаемый размер выходного пособия</w:t>
        </w:r>
      </w:hyperlink>
      <w:r>
        <w:rPr>
          <w:rFonts w:ascii="Calibri" w:hAnsi="Calibri" w:cs="Calibri"/>
        </w:rPr>
        <w:t xml:space="preserve"> при увольнении определяют исходя из среднего заработка, рассчитанного по правилам для </w:t>
      </w:r>
      <w:hyperlink r:id="rId9">
        <w:r>
          <w:rPr>
            <w:rFonts w:ascii="Calibri" w:hAnsi="Calibri" w:cs="Calibri"/>
            <w:color w:val="0000FF"/>
          </w:rPr>
          <w:t>детских пособий</w:t>
        </w:r>
      </w:hyperlink>
      <w:r>
        <w:rPr>
          <w:rFonts w:ascii="Calibri" w:hAnsi="Calibri" w:cs="Calibri"/>
        </w:rPr>
        <w:t xml:space="preserve"> (</w:t>
      </w:r>
      <w:hyperlink r:id="rId10">
        <w:r>
          <w:rPr>
            <w:rFonts w:ascii="Calibri" w:hAnsi="Calibri" w:cs="Calibri"/>
            <w:color w:val="0000FF"/>
          </w:rPr>
          <w:t>ст. 217</w:t>
        </w:r>
      </w:hyperlink>
      <w:r>
        <w:rPr>
          <w:rFonts w:ascii="Calibri" w:hAnsi="Calibri" w:cs="Calibri"/>
        </w:rPr>
        <w:t xml:space="preserve"> НК РФ).</w:t>
      </w:r>
    </w:p>
    <w:p w14:paraId="1F23A5E9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увеличен вычет на второго ребенка - 2 800 руб., на третьего и последующего - 6 000 руб., а также предельный размер дохода для </w:t>
      </w:r>
      <w:hyperlink r:id="rId11">
        <w:r>
          <w:rPr>
            <w:rFonts w:ascii="Calibri" w:hAnsi="Calibri" w:cs="Calibri"/>
            <w:color w:val="0000FF"/>
          </w:rPr>
          <w:t>вычетов на детей</w:t>
        </w:r>
      </w:hyperlink>
      <w:r>
        <w:rPr>
          <w:rFonts w:ascii="Calibri" w:hAnsi="Calibri" w:cs="Calibri"/>
        </w:rPr>
        <w:t xml:space="preserve"> - 450 000 руб. (</w:t>
      </w:r>
      <w:hyperlink r:id="rId12">
        <w:r>
          <w:rPr>
            <w:rFonts w:ascii="Calibri" w:hAnsi="Calibri" w:cs="Calibri"/>
            <w:color w:val="0000FF"/>
          </w:rPr>
          <w:t>ст. 218</w:t>
        </w:r>
      </w:hyperlink>
      <w:r>
        <w:rPr>
          <w:rFonts w:ascii="Calibri" w:hAnsi="Calibri" w:cs="Calibri"/>
        </w:rPr>
        <w:t xml:space="preserve"> НК РФ).</w:t>
      </w:r>
    </w:p>
    <w:p w14:paraId="35A08C33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установлен </w:t>
      </w:r>
      <w:hyperlink r:id="rId13">
        <w:r>
          <w:rPr>
            <w:rFonts w:ascii="Calibri" w:hAnsi="Calibri" w:cs="Calibri"/>
            <w:color w:val="0000FF"/>
          </w:rPr>
          <w:t>новый вычет</w:t>
        </w:r>
      </w:hyperlink>
      <w:r>
        <w:rPr>
          <w:rFonts w:ascii="Calibri" w:hAnsi="Calibri" w:cs="Calibri"/>
        </w:rPr>
        <w:t xml:space="preserve"> для сдавших </w:t>
      </w:r>
      <w:hyperlink r:id="rId14">
        <w:r>
          <w:rPr>
            <w:rFonts w:ascii="Calibri" w:hAnsi="Calibri" w:cs="Calibri"/>
            <w:color w:val="0000FF"/>
          </w:rPr>
          <w:t>нормы ГТО</w:t>
        </w:r>
      </w:hyperlink>
      <w:r>
        <w:rPr>
          <w:rFonts w:ascii="Calibri" w:hAnsi="Calibri" w:cs="Calibri"/>
        </w:rPr>
        <w:t xml:space="preserve"> и прошедших </w:t>
      </w:r>
      <w:hyperlink r:id="rId15">
        <w:r>
          <w:rPr>
            <w:rFonts w:ascii="Calibri" w:hAnsi="Calibri" w:cs="Calibri"/>
            <w:color w:val="0000FF"/>
          </w:rPr>
          <w:t>диспансеризацию</w:t>
        </w:r>
      </w:hyperlink>
      <w:r>
        <w:rPr>
          <w:rFonts w:ascii="Calibri" w:hAnsi="Calibri" w:cs="Calibri"/>
        </w:rPr>
        <w:t xml:space="preserve"> (</w:t>
      </w:r>
      <w:hyperlink r:id="rId16">
        <w:r>
          <w:rPr>
            <w:rFonts w:ascii="Calibri" w:hAnsi="Calibri" w:cs="Calibri"/>
            <w:color w:val="0000FF"/>
          </w:rPr>
          <w:t>ст. 218</w:t>
        </w:r>
      </w:hyperlink>
      <w:r>
        <w:rPr>
          <w:rFonts w:ascii="Calibri" w:hAnsi="Calibri" w:cs="Calibri"/>
        </w:rPr>
        <w:t xml:space="preserve"> НК РФ).</w:t>
      </w:r>
    </w:p>
    <w:p w14:paraId="6B2F4EFA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через работодателя можно получить </w:t>
      </w:r>
      <w:hyperlink r:id="rId17">
        <w:r>
          <w:rPr>
            <w:rFonts w:ascii="Calibri" w:hAnsi="Calibri" w:cs="Calibri"/>
            <w:color w:val="0000FF"/>
          </w:rPr>
          <w:t>вычет на взносы</w:t>
        </w:r>
      </w:hyperlink>
      <w:r>
        <w:rPr>
          <w:rFonts w:ascii="Calibri" w:hAnsi="Calibri" w:cs="Calibri"/>
        </w:rPr>
        <w:t xml:space="preserve"> по договорам долгосрочных сбережений (</w:t>
      </w:r>
      <w:hyperlink r:id="rId18">
        <w:r>
          <w:rPr>
            <w:rFonts w:ascii="Calibri" w:hAnsi="Calibri" w:cs="Calibri"/>
            <w:color w:val="0000FF"/>
          </w:rPr>
          <w:t>ст. 219.2</w:t>
        </w:r>
      </w:hyperlink>
      <w:r>
        <w:rPr>
          <w:rFonts w:ascii="Calibri" w:hAnsi="Calibri" w:cs="Calibri"/>
        </w:rPr>
        <w:t xml:space="preserve"> НК РФ).</w:t>
      </w:r>
    </w:p>
    <w:p w14:paraId="10F5AD7B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физлицо, владевшее долей в уставном капитале более 5 лет, не платит </w:t>
      </w:r>
      <w:hyperlink r:id="rId19">
        <w:r>
          <w:rPr>
            <w:rFonts w:ascii="Calibri" w:hAnsi="Calibri" w:cs="Calibri"/>
            <w:color w:val="0000FF"/>
          </w:rPr>
          <w:t>НДФЛ при ее продаже</w:t>
        </w:r>
      </w:hyperlink>
      <w:r>
        <w:rPr>
          <w:rFonts w:ascii="Calibri" w:hAnsi="Calibri" w:cs="Calibri"/>
        </w:rPr>
        <w:t xml:space="preserve">, только если является резидентом, а доход от продажи не превышает </w:t>
      </w:r>
      <w:hyperlink r:id="rId20">
        <w:r>
          <w:rPr>
            <w:rFonts w:ascii="Calibri" w:hAnsi="Calibri" w:cs="Calibri"/>
            <w:color w:val="0000FF"/>
          </w:rPr>
          <w:t>50 млн руб.</w:t>
        </w:r>
      </w:hyperlink>
      <w:r>
        <w:rPr>
          <w:rFonts w:ascii="Calibri" w:hAnsi="Calibri" w:cs="Calibri"/>
        </w:rPr>
        <w:t xml:space="preserve"> (</w:t>
      </w:r>
      <w:hyperlink r:id="rId21">
        <w:r>
          <w:rPr>
            <w:rFonts w:ascii="Calibri" w:hAnsi="Calibri" w:cs="Calibri"/>
            <w:color w:val="0000FF"/>
          </w:rPr>
          <w:t>ст. 217</w:t>
        </w:r>
      </w:hyperlink>
      <w:r>
        <w:rPr>
          <w:rFonts w:ascii="Calibri" w:hAnsi="Calibri" w:cs="Calibri"/>
        </w:rPr>
        <w:t xml:space="preserve"> НК РФ).</w:t>
      </w:r>
    </w:p>
    <w:p w14:paraId="3C0D0773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 xml:space="preserve">С 01.01.2025 НДФЛ с </w:t>
      </w:r>
      <w:hyperlink r:id="rId22">
        <w:proofErr w:type="spellStart"/>
        <w:r>
          <w:rPr>
            <w:rFonts w:ascii="Calibri" w:hAnsi="Calibri" w:cs="Calibri"/>
            <w:color w:val="0000FF"/>
          </w:rPr>
          <w:t>матвыгоды</w:t>
        </w:r>
        <w:proofErr w:type="spellEnd"/>
      </w:hyperlink>
      <w:r>
        <w:rPr>
          <w:rFonts w:ascii="Calibri" w:hAnsi="Calibri" w:cs="Calibri"/>
        </w:rPr>
        <w:t xml:space="preserve"> считают по займам, выданным не только своим работникам, но и работникам взаимозависимых организаций и ИП (</w:t>
      </w:r>
      <w:hyperlink r:id="rId23">
        <w:r>
          <w:rPr>
            <w:rFonts w:ascii="Calibri" w:hAnsi="Calibri" w:cs="Calibri"/>
            <w:color w:val="0000FF"/>
          </w:rPr>
          <w:t>ст. 212</w:t>
        </w:r>
      </w:hyperlink>
      <w:r>
        <w:rPr>
          <w:rFonts w:ascii="Calibri" w:hAnsi="Calibri" w:cs="Calibri"/>
        </w:rPr>
        <w:t xml:space="preserve"> НК РФ).</w:t>
      </w:r>
    </w:p>
    <w:p w14:paraId="5AE3905B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</w:rPr>
        <w:t>С 01.01.2026 работающие родители с двумя и более детьми и среднедушевым доходом ниже 1,5 региональных прожиточных минимумов смогут вернуть НДФЛ. Налог за прошлый год пересчитают по ставке 6%, а разницу вернут. За возвратом можно будет обратиться на Госуслугах, в МФЦ или СФР (</w:t>
      </w:r>
      <w:hyperlink r:id="rId24">
        <w:r>
          <w:rPr>
            <w:rFonts w:ascii="Calibri" w:hAnsi="Calibri" w:cs="Calibri"/>
            <w:color w:val="0000FF"/>
          </w:rPr>
          <w:t>ст. 1</w:t>
        </w:r>
      </w:hyperlink>
      <w:r>
        <w:rPr>
          <w:rFonts w:ascii="Calibri" w:hAnsi="Calibri" w:cs="Calibri"/>
        </w:rPr>
        <w:t xml:space="preserve"> Закона N 179-ФЗ).</w:t>
      </w:r>
    </w:p>
    <w:p w14:paraId="6725DB22" w14:textId="77777777" w:rsidR="003D194A" w:rsidRDefault="003D194A">
      <w:pPr>
        <w:spacing w:before="220" w:after="1" w:line="220" w:lineRule="auto"/>
        <w:jc w:val="both"/>
      </w:pPr>
      <w:r>
        <w:rPr>
          <w:rFonts w:ascii="Calibri" w:hAnsi="Calibri" w:cs="Calibri"/>
          <w:b/>
        </w:rPr>
        <w:t>Новые формы отчетности-2025:</w:t>
      </w:r>
      <w:r>
        <w:rPr>
          <w:rFonts w:ascii="Calibri" w:hAnsi="Calibri" w:cs="Calibri"/>
        </w:rPr>
        <w:t xml:space="preserve"> </w:t>
      </w:r>
      <w:hyperlink r:id="rId25">
        <w:r>
          <w:rPr>
            <w:rFonts w:ascii="Calibri" w:hAnsi="Calibri" w:cs="Calibri"/>
            <w:color w:val="0000FF"/>
          </w:rPr>
          <w:t>РСВ</w:t>
        </w:r>
      </w:hyperlink>
      <w:r>
        <w:rPr>
          <w:rFonts w:ascii="Calibri" w:hAnsi="Calibri" w:cs="Calibri"/>
        </w:rPr>
        <w:t xml:space="preserve">, декларации по </w:t>
      </w:r>
      <w:hyperlink r:id="rId26">
        <w:r>
          <w:rPr>
            <w:rFonts w:ascii="Calibri" w:hAnsi="Calibri" w:cs="Calibri"/>
            <w:color w:val="0000FF"/>
          </w:rPr>
          <w:t>налогу на прибыль</w:t>
        </w:r>
      </w:hyperlink>
      <w:r>
        <w:rPr>
          <w:rFonts w:ascii="Calibri" w:hAnsi="Calibri" w:cs="Calibri"/>
        </w:rPr>
        <w:t xml:space="preserve">, по НДС для </w:t>
      </w:r>
      <w:hyperlink r:id="rId27">
        <w:r>
          <w:rPr>
            <w:rFonts w:ascii="Calibri" w:hAnsi="Calibri" w:cs="Calibri"/>
            <w:color w:val="0000FF"/>
          </w:rPr>
          <w:t>обычных налогоплательщиков</w:t>
        </w:r>
      </w:hyperlink>
      <w:r>
        <w:rPr>
          <w:rFonts w:ascii="Calibri" w:hAnsi="Calibri" w:cs="Calibri"/>
        </w:rPr>
        <w:t xml:space="preserve"> и для </w:t>
      </w:r>
      <w:hyperlink r:id="rId28">
        <w:r>
          <w:rPr>
            <w:rFonts w:ascii="Calibri" w:hAnsi="Calibri" w:cs="Calibri"/>
            <w:color w:val="0000FF"/>
          </w:rPr>
          <w:t>налогоплательщиков-иностранцев</w:t>
        </w:r>
      </w:hyperlink>
      <w:r>
        <w:rPr>
          <w:rFonts w:ascii="Calibri" w:hAnsi="Calibri" w:cs="Calibri"/>
        </w:rPr>
        <w:t xml:space="preserve">, оказывающих электронные услуги или продающих товары через маркетплейсы, </w:t>
      </w:r>
      <w:hyperlink r:id="rId29">
        <w:r>
          <w:rPr>
            <w:rFonts w:ascii="Calibri" w:hAnsi="Calibri" w:cs="Calibri"/>
            <w:color w:val="0000FF"/>
          </w:rPr>
          <w:t>декларация о плате за НВОС</w:t>
        </w:r>
      </w:hyperlink>
      <w:r>
        <w:rPr>
          <w:rFonts w:ascii="Calibri" w:hAnsi="Calibri" w:cs="Calibri"/>
        </w:rPr>
        <w:t>.</w:t>
      </w:r>
    </w:p>
    <w:p w14:paraId="32548CA8" w14:textId="77777777" w:rsidR="003D194A" w:rsidRDefault="0098161E">
      <w:pPr>
        <w:spacing w:before="220" w:after="1" w:line="220" w:lineRule="auto"/>
        <w:jc w:val="both"/>
      </w:pPr>
      <w:hyperlink r:id="rId30">
        <w:r w:rsidR="003D194A">
          <w:rPr>
            <w:rFonts w:ascii="Calibri" w:hAnsi="Calibri" w:cs="Calibri"/>
            <w:b/>
            <w:color w:val="0000FF"/>
          </w:rPr>
          <w:t>ЕУД</w:t>
        </w:r>
      </w:hyperlink>
      <w:r w:rsidR="003D194A">
        <w:rPr>
          <w:rFonts w:ascii="Calibri" w:hAnsi="Calibri" w:cs="Calibri"/>
        </w:rPr>
        <w:t xml:space="preserve"> с 01.01.2025 надо сдавать только за первый период, в котором не было движения денег или объектов налогообложения: по НДС - не позднее 20 числа первого месяца следующего квартала, по налогу на прибыль - не позднее 20 апреля (</w:t>
      </w:r>
      <w:hyperlink r:id="rId31">
        <w:r w:rsidR="003D194A">
          <w:rPr>
            <w:rFonts w:ascii="Calibri" w:hAnsi="Calibri" w:cs="Calibri"/>
            <w:color w:val="0000FF"/>
          </w:rPr>
          <w:t>ст. 80</w:t>
        </w:r>
      </w:hyperlink>
      <w:r w:rsidR="003D194A">
        <w:rPr>
          <w:rFonts w:ascii="Calibri" w:hAnsi="Calibri" w:cs="Calibri"/>
        </w:rPr>
        <w:t xml:space="preserve"> НК РФ).</w:t>
      </w:r>
    </w:p>
    <w:p w14:paraId="70A4D2AF" w14:textId="77777777" w:rsidR="00AA4347" w:rsidRDefault="00AA4347">
      <w:pPr>
        <w:spacing w:after="1" w:line="220" w:lineRule="auto"/>
        <w:rPr>
          <w:rFonts w:ascii="Calibri" w:hAnsi="Calibri" w:cs="Calibri"/>
          <w:sz w:val="20"/>
        </w:rPr>
      </w:pPr>
    </w:p>
    <w:p w14:paraId="7E33729D" w14:textId="77777777" w:rsidR="003D194A" w:rsidRPr="00AA4347" w:rsidRDefault="00AA4347">
      <w:pPr>
        <w:spacing w:after="1" w:line="220" w:lineRule="auto"/>
        <w:rPr>
          <w:b/>
          <w:sz w:val="24"/>
          <w:szCs w:val="24"/>
        </w:rPr>
      </w:pPr>
      <w:r w:rsidRPr="00AA4347">
        <w:rPr>
          <w:rFonts w:ascii="Calibri" w:hAnsi="Calibri" w:cs="Calibri"/>
          <w:b/>
          <w:sz w:val="24"/>
          <w:szCs w:val="24"/>
        </w:rPr>
        <w:t>ПУТЕВОДИТЕЛЬ.</w:t>
      </w:r>
    </w:p>
    <w:p w14:paraId="16C0F8BC" w14:textId="77777777" w:rsidR="003D194A" w:rsidRPr="00AA4347" w:rsidRDefault="0098161E">
      <w:pPr>
        <w:spacing w:after="1" w:line="220" w:lineRule="auto"/>
        <w:rPr>
          <w:sz w:val="24"/>
          <w:szCs w:val="24"/>
        </w:rPr>
      </w:pPr>
      <w:hyperlink r:id="rId32">
        <w:r w:rsidR="003D194A" w:rsidRPr="00AA4347">
          <w:rPr>
            <w:rFonts w:ascii="Calibri" w:hAnsi="Calibri" w:cs="Calibri"/>
            <w:color w:val="0000FF"/>
            <w:sz w:val="24"/>
            <w:szCs w:val="24"/>
          </w:rPr>
          <w:t>Налог на доходы физических лиц (НДФЛ)</w:t>
        </w:r>
      </w:hyperlink>
    </w:p>
    <w:p w14:paraId="0412F5FA" w14:textId="77777777" w:rsidR="003D194A" w:rsidRPr="00AA4347" w:rsidRDefault="003D194A">
      <w:pPr>
        <w:spacing w:after="1" w:line="220" w:lineRule="auto"/>
        <w:rPr>
          <w:sz w:val="24"/>
          <w:szCs w:val="24"/>
        </w:rPr>
      </w:pPr>
      <w:r w:rsidRPr="00AA4347">
        <w:rPr>
          <w:rFonts w:ascii="Calibri" w:hAnsi="Calibri" w:cs="Calibri"/>
          <w:sz w:val="24"/>
          <w:szCs w:val="24"/>
        </w:rPr>
        <w:t>(КонсультантПлюс, 2025)</w:t>
      </w:r>
    </w:p>
    <w:p w14:paraId="66733BB4" w14:textId="77777777" w:rsidR="003D194A" w:rsidRPr="00AA4347" w:rsidRDefault="00AA4347" w:rsidP="00AA4347">
      <w:pPr>
        <w:spacing w:before="240" w:after="1" w:line="220" w:lineRule="auto"/>
        <w:rPr>
          <w:rFonts w:ascii="Calibri" w:hAnsi="Calibri" w:cs="Calibri"/>
          <w:b/>
          <w:sz w:val="24"/>
          <w:szCs w:val="24"/>
        </w:rPr>
      </w:pPr>
      <w:r w:rsidRPr="00AA4347">
        <w:rPr>
          <w:rFonts w:ascii="Calibri" w:hAnsi="Calibri" w:cs="Calibri"/>
          <w:b/>
          <w:sz w:val="24"/>
          <w:szCs w:val="24"/>
        </w:rPr>
        <w:t>ПУТЕВОДИТЕЛЬ.</w:t>
      </w:r>
    </w:p>
    <w:p w14:paraId="6DC657F5" w14:textId="77777777" w:rsidR="003D194A" w:rsidRPr="00AA4347" w:rsidRDefault="0098161E">
      <w:pPr>
        <w:spacing w:after="1" w:line="220" w:lineRule="auto"/>
        <w:rPr>
          <w:sz w:val="24"/>
          <w:szCs w:val="24"/>
        </w:rPr>
      </w:pPr>
      <w:hyperlink r:id="rId33">
        <w:r w:rsidR="003D194A" w:rsidRPr="00AA4347">
          <w:rPr>
            <w:rFonts w:ascii="Calibri" w:hAnsi="Calibri" w:cs="Calibri"/>
            <w:color w:val="0000FF"/>
            <w:sz w:val="24"/>
            <w:szCs w:val="24"/>
          </w:rPr>
          <w:t>Что нужно знать об НДФЛ налоговому агенту</w:t>
        </w:r>
      </w:hyperlink>
    </w:p>
    <w:p w14:paraId="6D293D99" w14:textId="77777777" w:rsidR="003D194A" w:rsidRPr="00AA4347" w:rsidRDefault="003D194A">
      <w:pPr>
        <w:spacing w:after="1" w:line="220" w:lineRule="auto"/>
        <w:rPr>
          <w:sz w:val="24"/>
          <w:szCs w:val="24"/>
        </w:rPr>
      </w:pPr>
      <w:r w:rsidRPr="00AA4347">
        <w:rPr>
          <w:rFonts w:ascii="Calibri" w:hAnsi="Calibri" w:cs="Calibri"/>
          <w:sz w:val="24"/>
          <w:szCs w:val="24"/>
        </w:rPr>
        <w:t>(КонсультантПлюс, 2025)</w:t>
      </w:r>
    </w:p>
    <w:p w14:paraId="622D107D" w14:textId="77777777" w:rsidR="003D194A" w:rsidRPr="00AA4347" w:rsidRDefault="00AA4347" w:rsidP="00AA4347">
      <w:pPr>
        <w:spacing w:before="240" w:after="1" w:line="220" w:lineRule="auto"/>
        <w:rPr>
          <w:rFonts w:ascii="Calibri" w:hAnsi="Calibri" w:cs="Calibri"/>
          <w:b/>
          <w:sz w:val="24"/>
          <w:szCs w:val="24"/>
        </w:rPr>
      </w:pPr>
      <w:r w:rsidRPr="00AA4347">
        <w:rPr>
          <w:rFonts w:ascii="Calibri" w:hAnsi="Calibri" w:cs="Calibri"/>
          <w:b/>
          <w:sz w:val="24"/>
          <w:szCs w:val="24"/>
        </w:rPr>
        <w:t>ПЕРСПЕКТИВЫ И РИСКИ АРБИТРАЖНОГО СПОРА:</w:t>
      </w:r>
    </w:p>
    <w:p w14:paraId="75DE79A0" w14:textId="77777777" w:rsidR="003D194A" w:rsidRPr="00AA4347" w:rsidRDefault="0098161E">
      <w:pPr>
        <w:spacing w:after="1" w:line="220" w:lineRule="auto"/>
        <w:rPr>
          <w:sz w:val="24"/>
          <w:szCs w:val="24"/>
        </w:rPr>
      </w:pPr>
      <w:hyperlink r:id="rId34">
        <w:r w:rsidR="003D194A" w:rsidRPr="00AA4347">
          <w:rPr>
            <w:rFonts w:ascii="Calibri" w:hAnsi="Calibri" w:cs="Calibri"/>
            <w:color w:val="0000FF"/>
            <w:sz w:val="24"/>
            <w:szCs w:val="24"/>
          </w:rPr>
          <w:t>НДФЛ: Перечень всех ситуаций</w:t>
        </w:r>
      </w:hyperlink>
    </w:p>
    <w:p w14:paraId="72ECF6BE" w14:textId="77777777" w:rsidR="003D194A" w:rsidRPr="00AA4347" w:rsidRDefault="003D194A">
      <w:pPr>
        <w:spacing w:after="1" w:line="220" w:lineRule="auto"/>
        <w:rPr>
          <w:sz w:val="24"/>
          <w:szCs w:val="24"/>
        </w:rPr>
      </w:pPr>
      <w:r w:rsidRPr="00AA4347">
        <w:rPr>
          <w:rFonts w:ascii="Calibri" w:hAnsi="Calibri" w:cs="Calibri"/>
          <w:sz w:val="24"/>
          <w:szCs w:val="24"/>
        </w:rPr>
        <w:t>(КонсультантПлюс, 2025)</w:t>
      </w:r>
    </w:p>
    <w:p w14:paraId="07C2CE8A" w14:textId="77777777" w:rsidR="003D194A" w:rsidRPr="00AA4347" w:rsidRDefault="0098161E" w:rsidP="00AA4347">
      <w:pPr>
        <w:spacing w:before="240" w:after="1" w:line="220" w:lineRule="auto"/>
        <w:rPr>
          <w:b/>
          <w:sz w:val="24"/>
          <w:szCs w:val="24"/>
        </w:rPr>
      </w:pPr>
      <w:hyperlink r:id="rId35">
        <w:r w:rsidR="00AA4347" w:rsidRPr="00AA4347">
          <w:rPr>
            <w:rFonts w:ascii="Calibri" w:hAnsi="Calibri" w:cs="Calibri"/>
            <w:b/>
            <w:color w:val="0000FF"/>
            <w:sz w:val="24"/>
            <w:szCs w:val="24"/>
          </w:rPr>
          <w:t>ПУТЕВОДИТЕЛЬ ПО ИБ "КОРРЕСПОНДЕНЦИЯ СЧЕТОВ"</w:t>
        </w:r>
      </w:hyperlink>
    </w:p>
    <w:p w14:paraId="577A2CD1" w14:textId="77777777" w:rsidR="00AA4347" w:rsidRDefault="003D194A" w:rsidP="00AA4347">
      <w:pPr>
        <w:pBdr>
          <w:left w:val="single" w:sz="16" w:space="0" w:color="7F7F7F"/>
        </w:pBdr>
        <w:spacing w:after="1" w:line="220" w:lineRule="auto"/>
        <w:ind w:left="540"/>
        <w:rPr>
          <w:rFonts w:ascii="Calibri" w:hAnsi="Calibri" w:cs="Calibri"/>
          <w:sz w:val="24"/>
          <w:szCs w:val="24"/>
        </w:rPr>
      </w:pPr>
      <w:r w:rsidRPr="00AA4347">
        <w:rPr>
          <w:rFonts w:ascii="Calibri" w:hAnsi="Calibri" w:cs="Calibri"/>
          <w:sz w:val="24"/>
          <w:szCs w:val="24"/>
        </w:rPr>
        <w:t>Налог на доходы физических лиц (НДФЛ)</w:t>
      </w:r>
    </w:p>
    <w:p w14:paraId="05163FF8" w14:textId="77777777" w:rsidR="00AA4347" w:rsidRDefault="00AA4347" w:rsidP="00AA4347">
      <w:pPr>
        <w:spacing w:after="1" w:line="220" w:lineRule="auto"/>
        <w:rPr>
          <w:rFonts w:ascii="Calibri" w:hAnsi="Calibri" w:cs="Calibri"/>
          <w:sz w:val="24"/>
          <w:szCs w:val="24"/>
        </w:rPr>
      </w:pPr>
    </w:p>
    <w:p w14:paraId="41A0D21A" w14:textId="77777777" w:rsidR="00AA4347" w:rsidRDefault="00AA4347" w:rsidP="00AA4347">
      <w:pPr>
        <w:spacing w:after="1" w:line="220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8253EC" wp14:editId="48DA5DE6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91473" w14:textId="77777777" w:rsidR="00AA4347" w:rsidRDefault="00AA4347" w:rsidP="00AA4347">
      <w:pPr>
        <w:spacing w:after="1" w:line="220" w:lineRule="auto"/>
        <w:rPr>
          <w:rFonts w:ascii="Calibri" w:hAnsi="Calibri" w:cs="Calibri"/>
          <w:sz w:val="24"/>
          <w:szCs w:val="24"/>
        </w:rPr>
      </w:pPr>
    </w:p>
    <w:sectPr w:rsidR="00AA4347" w:rsidSect="00CC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2"/>
    <w:rsid w:val="00156573"/>
    <w:rsid w:val="00176E19"/>
    <w:rsid w:val="001C6C3E"/>
    <w:rsid w:val="003D194A"/>
    <w:rsid w:val="005734F2"/>
    <w:rsid w:val="0098161E"/>
    <w:rsid w:val="00A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9C46"/>
  <w15:docId w15:val="{2E78FF3E-7510-48F4-AA7F-F1B8B6B0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4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4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76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61125&amp;dst=100022" TargetMode="External"/><Relationship Id="rId18" Type="http://schemas.openxmlformats.org/officeDocument/2006/relationships/hyperlink" Target="https://login.consultant.ru/link/?req=doc&amp;base=LAW&amp;n=475532&amp;dst=25437" TargetMode="External"/><Relationship Id="rId26" Type="http://schemas.openxmlformats.org/officeDocument/2006/relationships/hyperlink" Target="https://login.consultant.ru/link/?req=doc&amp;base=PBI&amp;n=219001" TargetMode="External"/><Relationship Id="rId21" Type="http://schemas.openxmlformats.org/officeDocument/2006/relationships/hyperlink" Target="https://login.consultant.ru/link/?req=doc&amp;base=LAW&amp;n=475532&amp;dst=26081" TargetMode="External"/><Relationship Id="rId34" Type="http://schemas.openxmlformats.org/officeDocument/2006/relationships/hyperlink" Target="https://login.consultant.ru/link/?req=doc&amp;base=PRSSP&amp;n=97&amp;dst=1000000001" TargetMode="External"/><Relationship Id="rId7" Type="http://schemas.openxmlformats.org/officeDocument/2006/relationships/hyperlink" Target="https://login.consultant.ru/link/?req=doc&amp;base=PBI&amp;n=261802" TargetMode="External"/><Relationship Id="rId12" Type="http://schemas.openxmlformats.org/officeDocument/2006/relationships/hyperlink" Target="https://login.consultant.ru/link/?req=doc&amp;base=LAW&amp;n=475532&amp;dst=12243" TargetMode="External"/><Relationship Id="rId17" Type="http://schemas.openxmlformats.org/officeDocument/2006/relationships/hyperlink" Target="https://login.consultant.ru/link/?req=doc&amp;base=PBI&amp;n=61125&amp;dst=100021" TargetMode="External"/><Relationship Id="rId25" Type="http://schemas.openxmlformats.org/officeDocument/2006/relationships/hyperlink" Target="https://login.consultant.ru/link/?req=doc&amp;base=PBI&amp;n=221248" TargetMode="External"/><Relationship Id="rId33" Type="http://schemas.openxmlformats.org/officeDocument/2006/relationships/hyperlink" Target="https://login.consultant.ru/link/?req=doc&amp;base=PPN&amp;n=87&amp;dst=100000000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532&amp;dst=26088" TargetMode="External"/><Relationship Id="rId20" Type="http://schemas.openxmlformats.org/officeDocument/2006/relationships/hyperlink" Target="https://login.consultant.ru/link/?req=doc&amp;base=LAW&amp;n=475532&amp;dst=26083" TargetMode="External"/><Relationship Id="rId29" Type="http://schemas.openxmlformats.org/officeDocument/2006/relationships/hyperlink" Target="https://login.consultant.ru/link/?req=doc&amp;base=LAW&amp;n=50669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32&amp;dst=26117" TargetMode="External"/><Relationship Id="rId11" Type="http://schemas.openxmlformats.org/officeDocument/2006/relationships/hyperlink" Target="https://login.consultant.ru/link/?req=doc&amp;base=PBI&amp;n=199845" TargetMode="External"/><Relationship Id="rId24" Type="http://schemas.openxmlformats.org/officeDocument/2006/relationships/hyperlink" Target="https://login.consultant.ru/link/?req=doc&amp;base=LAW&amp;n=480719&amp;dst=100009" TargetMode="External"/><Relationship Id="rId32" Type="http://schemas.openxmlformats.org/officeDocument/2006/relationships/hyperlink" Target="https://login.consultant.ru/link/?req=doc&amp;base=PPN&amp;n=88&amp;dst=100000000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532&amp;dst=26113" TargetMode="External"/><Relationship Id="rId15" Type="http://schemas.openxmlformats.org/officeDocument/2006/relationships/hyperlink" Target="https://login.consultant.ru/link/?req=doc&amp;base=LAW&amp;n=483648&amp;dst=100034" TargetMode="External"/><Relationship Id="rId23" Type="http://schemas.openxmlformats.org/officeDocument/2006/relationships/hyperlink" Target="https://login.consultant.ru/link/?req=doc&amp;base=LAW&amp;n=475532&amp;dst=26474" TargetMode="External"/><Relationship Id="rId28" Type="http://schemas.openxmlformats.org/officeDocument/2006/relationships/hyperlink" Target="https://login.consultant.ru/link/?req=doc&amp;base=LAW&amp;n=494118&amp;dst=100021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75532&amp;dst=26702" TargetMode="External"/><Relationship Id="rId19" Type="http://schemas.openxmlformats.org/officeDocument/2006/relationships/hyperlink" Target="https://login.consultant.ru/link/?req=doc&amp;base=PBI&amp;n=199961&amp;dst=100008" TargetMode="External"/><Relationship Id="rId31" Type="http://schemas.openxmlformats.org/officeDocument/2006/relationships/hyperlink" Target="https://login.consultant.ru/link/?req=doc&amp;base=LAW&amp;n=483130&amp;dst=6819" TargetMode="External"/><Relationship Id="rId4" Type="http://schemas.openxmlformats.org/officeDocument/2006/relationships/hyperlink" Target="https://login.consultant.ru/link/?req=doc&amp;base=PBI&amp;n=238751&amp;dst=100010" TargetMode="External"/><Relationship Id="rId9" Type="http://schemas.openxmlformats.org/officeDocument/2006/relationships/hyperlink" Target="https://login.consultant.ru/link/?req=doc&amp;base=PBI&amp;n=83733&amp;dst=100004" TargetMode="External"/><Relationship Id="rId14" Type="http://schemas.openxmlformats.org/officeDocument/2006/relationships/hyperlink" Target="https://login.consultant.ru/link/?req=doc&amp;base=LAW&amp;n=443204&amp;dst=100013" TargetMode="External"/><Relationship Id="rId22" Type="http://schemas.openxmlformats.org/officeDocument/2006/relationships/hyperlink" Target="https://login.consultant.ru/link/?req=doc&amp;base=PBI&amp;n=199981&amp;dst=100002" TargetMode="External"/><Relationship Id="rId27" Type="http://schemas.openxmlformats.org/officeDocument/2006/relationships/hyperlink" Target="https://login.consultant.ru/link/?req=doc&amp;base=PBI&amp;n=76619" TargetMode="External"/><Relationship Id="rId30" Type="http://schemas.openxmlformats.org/officeDocument/2006/relationships/hyperlink" Target="https://login.consultant.ru/link/?req=doc&amp;base=PBI&amp;n=215380" TargetMode="External"/><Relationship Id="rId35" Type="http://schemas.openxmlformats.org/officeDocument/2006/relationships/hyperlink" Target="https://login.consultant.ru/link/?req=doc&amp;base=KOR&amp;n=55555&amp;dst=101220" TargetMode="External"/><Relationship Id="rId8" Type="http://schemas.openxmlformats.org/officeDocument/2006/relationships/hyperlink" Target="https://login.consultant.ru/link/?req=doc&amp;base=PBI&amp;n=238688&amp;dst=10004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Завязочникова Светлана Александровна</cp:lastModifiedBy>
  <cp:revision>2</cp:revision>
  <dcterms:created xsi:type="dcterms:W3CDTF">2025-06-24T08:03:00Z</dcterms:created>
  <dcterms:modified xsi:type="dcterms:W3CDTF">2025-06-24T08:03:00Z</dcterms:modified>
</cp:coreProperties>
</file>